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A8" w:rsidRDefault="00E329A8" w:rsidP="002532AD"/>
    <w:p w:rsidR="00E96FC0" w:rsidRPr="00E96FC0" w:rsidRDefault="00E96FC0" w:rsidP="00E96FC0">
      <w:pPr>
        <w:spacing w:after="200" w:line="276" w:lineRule="auto"/>
        <w:rPr>
          <w:rFonts w:ascii="Baskerville Old Face" w:eastAsia="Calibri" w:hAnsi="Baskerville Old Face"/>
          <w:b/>
          <w:sz w:val="22"/>
          <w:szCs w:val="22"/>
          <w:u w:val="single"/>
          <w:lang w:eastAsia="en-US"/>
        </w:rPr>
      </w:pPr>
      <w:r w:rsidRPr="00E96FC0">
        <w:rPr>
          <w:rFonts w:ascii="Baskerville Old Face" w:eastAsia="Calibri" w:hAnsi="Baskerville Old Face"/>
          <w:b/>
          <w:sz w:val="22"/>
          <w:szCs w:val="22"/>
          <w:u w:val="single"/>
          <w:lang w:eastAsia="en-US"/>
        </w:rPr>
        <w:t>NORMATIVA DEL PROTOCOLO DE PRACTICA EN PSICOLOGIA CLINICA VIRTUAL</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LEY EJERCICIO DE LA PSICOLOGIA Nro. 23277</w:t>
      </w:r>
    </w:p>
    <w:p w:rsidR="00E96FC0" w:rsidRPr="00E96FC0" w:rsidRDefault="00E96FC0" w:rsidP="00E96FC0">
      <w:pPr>
        <w:spacing w:after="200" w:line="276" w:lineRule="auto"/>
        <w:jc w:val="both"/>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 xml:space="preserve">ARTICULO 8º - Los profesionales que ejerzan la psicología están obligados a: </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 xml:space="preserve">1. Aconsejar la internación en establecimiento público o privado de aquellas personas que atiendan y que por los trastornos de su conducta signifiquen un peligro para sí o para terceros, así como su posterior externación. </w:t>
      </w:r>
    </w:p>
    <w:p w:rsidR="00E96FC0" w:rsidRPr="00E96FC0" w:rsidRDefault="00E96FC0" w:rsidP="00E96FC0">
      <w:pPr>
        <w:spacing w:after="200" w:line="276" w:lineRule="auto"/>
        <w:jc w:val="both"/>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 xml:space="preserve">2.Proteger a los examinados asegurándoles que las pruebas y resultados que obtenga se utilizarán de acuerdo a normas éticas y profesionales. </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 xml:space="preserve">3.Prestar la colaboración que le sea requerida por las autoridades sanitarias en caso de emergencias. </w:t>
      </w:r>
    </w:p>
    <w:p w:rsidR="00E96FC0" w:rsidRPr="00E96FC0" w:rsidRDefault="00E96FC0" w:rsidP="00E96FC0">
      <w:pPr>
        <w:spacing w:after="200" w:line="276" w:lineRule="auto"/>
        <w:jc w:val="both"/>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 xml:space="preserve">4.Guardar el más riguroso secreto profesional sobre cualquier prescripción o acto que realizare en cumplimiento de sus tareas especificas, así como de los datos o hechos que se les comunicare en razón de su actividad profesional sobre aspectos físicos, psicológicos o ideológicos de las personas. </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5.Fijar domicilio profesional dentro del territorio de la Capital Federal, Tierra del Fuego e Islas del Atlántico Sur.</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LEY NACIONAL DE SALUD MENTAL Nro. 26657</w:t>
      </w:r>
    </w:p>
    <w:p w:rsidR="00E96FC0" w:rsidRPr="00E96FC0" w:rsidRDefault="00E96FC0" w:rsidP="00E96FC0">
      <w:pPr>
        <w:spacing w:after="200" w:line="276" w:lineRule="auto"/>
        <w:rPr>
          <w:rFonts w:ascii="Baskerville Old Face" w:eastAsia="Calibri" w:hAnsi="Baskerville Old Face"/>
          <w:b/>
          <w:bCs/>
          <w:sz w:val="22"/>
          <w:szCs w:val="22"/>
          <w:lang w:eastAsia="en-US"/>
        </w:rPr>
      </w:pPr>
      <w:r w:rsidRPr="00E96FC0">
        <w:rPr>
          <w:rFonts w:ascii="Baskerville Old Face" w:eastAsia="Calibri" w:hAnsi="Baskerville Old Face"/>
          <w:b/>
          <w:bCs/>
          <w:sz w:val="22"/>
          <w:szCs w:val="22"/>
          <w:lang w:eastAsia="en-US"/>
        </w:rPr>
        <w:t>Capítulo IV</w:t>
      </w:r>
    </w:p>
    <w:p w:rsidR="00E96FC0" w:rsidRPr="00E96FC0" w:rsidRDefault="00E96FC0" w:rsidP="00E96FC0">
      <w:pPr>
        <w:spacing w:after="200" w:line="276" w:lineRule="auto"/>
        <w:rPr>
          <w:rFonts w:ascii="Baskerville Old Face" w:eastAsia="Calibri" w:hAnsi="Baskerville Old Face"/>
          <w:b/>
          <w:iCs/>
          <w:sz w:val="22"/>
          <w:szCs w:val="22"/>
          <w:lang w:eastAsia="en-US"/>
        </w:rPr>
      </w:pPr>
      <w:r w:rsidRPr="00E96FC0">
        <w:rPr>
          <w:rFonts w:ascii="Baskerville Old Face" w:eastAsia="Calibri" w:hAnsi="Baskerville Old Face"/>
          <w:b/>
          <w:iCs/>
          <w:sz w:val="22"/>
          <w:szCs w:val="22"/>
          <w:lang w:eastAsia="en-US"/>
        </w:rPr>
        <w:t>Derechos de las personas con padecimiento mental</w:t>
      </w:r>
    </w:p>
    <w:p w:rsidR="00E96FC0" w:rsidRPr="00E96FC0" w:rsidRDefault="00E96FC0" w:rsidP="00E96FC0">
      <w:pPr>
        <w:spacing w:after="200" w:line="276" w:lineRule="auto"/>
        <w:jc w:val="both"/>
        <w:rPr>
          <w:rFonts w:ascii="Baskerville Old Face" w:eastAsia="Calibri" w:hAnsi="Baskerville Old Face"/>
          <w:b/>
          <w:sz w:val="22"/>
          <w:szCs w:val="22"/>
          <w:lang w:eastAsia="en-US"/>
        </w:rPr>
      </w:pPr>
      <w:r w:rsidRPr="00E96FC0">
        <w:rPr>
          <w:rFonts w:ascii="Baskerville Old Face" w:eastAsia="Calibri" w:hAnsi="Baskerville Old Face"/>
          <w:b/>
          <w:bCs/>
          <w:sz w:val="22"/>
          <w:szCs w:val="22"/>
          <w:lang w:eastAsia="en-US"/>
        </w:rPr>
        <w:t>ARTICULO 7° —</w:t>
      </w:r>
      <w:r w:rsidRPr="00E96FC0">
        <w:rPr>
          <w:rFonts w:ascii="Baskerville Old Face" w:eastAsia="Calibri" w:hAnsi="Baskerville Old Face"/>
          <w:b/>
          <w:sz w:val="22"/>
          <w:szCs w:val="22"/>
          <w:lang w:eastAsia="en-US"/>
        </w:rPr>
        <w:t> El Estado reconoce a las personas con padecimiento mental los siguientes derechos:</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a) Derecho a recibir atención sanitaria y social integral y humanizada, a partir del acceso gratuito, igualitario y equitativo a las prestaciones e insumos necesarios, con el objeto de asegurar la recuperación y preservación de su salud;</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b) Derecho a conocer y preservar su identidad, sus grupos de pertenencia, su genealogía y su historia;</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c) Derecho a recibir una atención basada en fundamentos científicos ajustados a principios éticos;</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d) Derecho a recibir tratamiento y a ser tratado con la alternativa terapéutica más conveniente, que menos restrinja sus derechos y libertades, promoviendo la integración familiar, laboral y comunitaria;</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e) Derecho a ser acompañado antes, durante y luego del tratamiento por sus familiares, otros afectos o a quien la persona con padecimiento mental designe;</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f) Derecho a recibir o rechazar asistencia o auxilio espiritual o religioso;</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g) Derecho del asistido, su abogado, un familiar, o allegado que éste designe, a acceder a sus antecedentes familiares, fichas e historias clínicas;</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lastRenderedPageBreak/>
        <w:t>h) Derecho a que en el caso de internación involuntaria o voluntaria prolongada, las condiciones de la misma sean supervisadas periódicamente por el órgano de revisión;</w:t>
      </w:r>
    </w:p>
    <w:p w:rsidR="00E96FC0" w:rsidRPr="00E96FC0" w:rsidRDefault="00E96FC0" w:rsidP="00E96FC0">
      <w:pPr>
        <w:spacing w:after="200" w:line="276" w:lineRule="auto"/>
        <w:jc w:val="both"/>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i) Derecho a no ser identificado ni discriminado por un padecimiento mental actual o pasado;</w:t>
      </w:r>
    </w:p>
    <w:p w:rsidR="00E96FC0" w:rsidRPr="00E96FC0" w:rsidRDefault="00E96FC0" w:rsidP="00E96FC0">
      <w:pPr>
        <w:spacing w:after="200" w:line="276" w:lineRule="auto"/>
        <w:jc w:val="both"/>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j) Derecho a ser informado de manera adecuada y comprensible de los derechos que lo asisten, y de todo lo inherente a su salud y tratamiento, según las normas del consentimiento informado, incluyendo las alternativas para su atención, que en el caso de no ser comprendidas por el paciente se comunicarán a los familiares, tutores o representantes legales;</w:t>
      </w:r>
    </w:p>
    <w:p w:rsidR="00E96FC0" w:rsidRPr="00E96FC0" w:rsidRDefault="00E96FC0" w:rsidP="00E96FC0">
      <w:pPr>
        <w:spacing w:after="200" w:line="276" w:lineRule="auto"/>
        <w:jc w:val="both"/>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k) Derecho a poder tomar decisiones relacionadas con su atención y su tratamiento dentro de sus posibilidades;</w:t>
      </w:r>
    </w:p>
    <w:p w:rsidR="00E96FC0" w:rsidRPr="00E96FC0" w:rsidRDefault="00E96FC0" w:rsidP="00E96FC0">
      <w:pPr>
        <w:spacing w:after="200" w:line="276" w:lineRule="auto"/>
        <w:jc w:val="both"/>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l) Derecho a recibir un tratamiento personalizado en un ambiente apto con resguardo de su intimidad, siendo reconocido siempre como sujeto de derecho, con el pleno respeto de su vida privada y libertad de comunicación;</w:t>
      </w:r>
    </w:p>
    <w:p w:rsidR="00E96FC0" w:rsidRPr="00E96FC0" w:rsidRDefault="00E96FC0" w:rsidP="00E96FC0">
      <w:pPr>
        <w:spacing w:after="200" w:line="276" w:lineRule="auto"/>
        <w:jc w:val="both"/>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m) Derecho a no ser objeto de investigaciones clínicas ni tratamientos experimentales sin un consentimiento fehaciente;</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n) Derecho a que el padecimiento mental no sea considerado un estado inmodificable;</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o) Derecho a no ser sometido a trabajos forzados;</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p) Derecho a recibir una justa compensación por su tarea en caso de participar de actividades encuadradas como laborterapia o trabajos comunitarios, que impliquen producción de objetos, obras o servicios que luego sean comercializados.</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b/>
          <w:bCs/>
          <w:sz w:val="22"/>
          <w:szCs w:val="22"/>
          <w:lang w:eastAsia="en-US"/>
        </w:rPr>
        <w:t>ARTICULO 16. —</w:t>
      </w:r>
      <w:r w:rsidRPr="00E96FC0">
        <w:rPr>
          <w:rFonts w:ascii="Baskerville Old Face" w:eastAsia="Calibri" w:hAnsi="Baskerville Old Face"/>
          <w:sz w:val="22"/>
          <w:szCs w:val="22"/>
          <w:lang w:eastAsia="en-US"/>
        </w:rPr>
        <w:t> Toda disposición de internación, dentro de las CUARENTA Y OCHO (48) horas, debe cumplir con los siguientes requisitos:</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a) Evaluación, diagnóstico interdisciplinario e integral y motivos que justifican la internación, con la firma de al menos dos profesionales del servicio asistencial donde se realice la internación, uno de los cuales debe ser necesariamente psicólogo o médico psiquiatra;</w:t>
      </w:r>
    </w:p>
    <w:p w:rsidR="00E96FC0" w:rsidRPr="00E96FC0" w:rsidRDefault="00E96FC0" w:rsidP="00E96FC0">
      <w:pPr>
        <w:spacing w:after="200" w:line="276" w:lineRule="auto"/>
        <w:jc w:val="both"/>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b) Búsqueda de datos disponibles acerca de la identidad y el entorno familiar;</w:t>
      </w:r>
    </w:p>
    <w:p w:rsidR="00E96FC0" w:rsidRPr="00E96FC0" w:rsidRDefault="00E96FC0" w:rsidP="00E96FC0">
      <w:pPr>
        <w:spacing w:after="200" w:line="276" w:lineRule="auto"/>
        <w:jc w:val="both"/>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c) Consentimiento informado de la persona o del representante legal cuando corresponda. Sólo se considera válido el consentimiento cuando se presta en estado de lucidez y con comprensión de la situación, y se considerará invalidado si durante el transcurso de la internación dicho estado se pierde, ya sea por el estado de salud de la persona o por efecto de los medicamentos o terapéuticas aplicadas. En tal caso deberá procederse como si se tratase de una internación involuntaria.</w:t>
      </w:r>
    </w:p>
    <w:p w:rsidR="00E96FC0" w:rsidRDefault="00E96FC0" w:rsidP="00E96FC0">
      <w:pPr>
        <w:spacing w:after="200" w:line="276" w:lineRule="auto"/>
        <w:jc w:val="both"/>
        <w:rPr>
          <w:rFonts w:ascii="Baskerville Old Face" w:eastAsia="Calibri" w:hAnsi="Baskerville Old Face"/>
          <w:b/>
          <w:sz w:val="22"/>
          <w:szCs w:val="22"/>
          <w:lang w:eastAsia="en-US"/>
        </w:rPr>
      </w:pPr>
    </w:p>
    <w:p w:rsidR="00D02A5C" w:rsidRPr="00E96FC0" w:rsidRDefault="00D02A5C" w:rsidP="00E96FC0">
      <w:pPr>
        <w:spacing w:after="200" w:line="276" w:lineRule="auto"/>
        <w:jc w:val="both"/>
        <w:rPr>
          <w:rFonts w:ascii="Baskerville Old Face" w:eastAsia="Calibri" w:hAnsi="Baskerville Old Face"/>
          <w:b/>
          <w:sz w:val="22"/>
          <w:szCs w:val="22"/>
          <w:lang w:eastAsia="en-US"/>
        </w:rPr>
      </w:pPr>
    </w:p>
    <w:p w:rsidR="00E96FC0" w:rsidRPr="00E96FC0" w:rsidRDefault="00E96FC0" w:rsidP="00E96FC0">
      <w:pPr>
        <w:spacing w:after="200" w:line="276" w:lineRule="auto"/>
        <w:jc w:val="both"/>
        <w:rPr>
          <w:rFonts w:ascii="Baskerville Old Face" w:eastAsia="Calibri" w:hAnsi="Baskerville Old Face"/>
          <w:b/>
          <w:sz w:val="22"/>
          <w:szCs w:val="22"/>
          <w:lang w:eastAsia="en-US"/>
        </w:rPr>
      </w:pPr>
    </w:p>
    <w:p w:rsidR="00E96FC0" w:rsidRPr="00E96FC0" w:rsidRDefault="00E96FC0" w:rsidP="00E96FC0">
      <w:pPr>
        <w:spacing w:after="200" w:line="276" w:lineRule="auto"/>
        <w:jc w:val="both"/>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lastRenderedPageBreak/>
        <w:t>LEY DE DERECHOS DEL PACIENTE NRO. 26529</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Capítulo I</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DERECHOS DEL PACIENTE EN SU RELACION CON LOS PROFESIONALES E INSTITUCIONES DE LA SALUD</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bCs/>
          <w:sz w:val="22"/>
          <w:szCs w:val="22"/>
          <w:lang w:eastAsia="en-US"/>
        </w:rPr>
        <w:t>ARTICULO 2º </w:t>
      </w:r>
      <w:r w:rsidRPr="00E96FC0">
        <w:rPr>
          <w:rFonts w:ascii="Baskerville Old Face" w:eastAsia="Calibri" w:hAnsi="Baskerville Old Face"/>
          <w:b/>
          <w:sz w:val="22"/>
          <w:szCs w:val="22"/>
          <w:lang w:eastAsia="en-US"/>
        </w:rPr>
        <w:t>— Derechos del paciente. Constituyen derechos esenciales en la relación entre el paciente y el o los profesionales de la salud, el o los agentes del seguro de salud, y cualquier efector de que se trate, los siguientes:</w:t>
      </w:r>
    </w:p>
    <w:p w:rsidR="00E96FC0" w:rsidRPr="00E96FC0" w:rsidRDefault="00E96FC0" w:rsidP="00E96FC0">
      <w:pPr>
        <w:spacing w:after="200" w:line="276" w:lineRule="auto"/>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a) Asistencia. El paciente, prioritariamente los niños, niñas y adolescentes, tiene derecho a ser asistido por los profesionales de la salud, sin menoscabo y distinción alguna, producto de sus ideas, creencias religiosas, políticas, condición socioeconómica, raza, sexo, orientación sexual o cualquier otra condición. El profesional actuante sólo podrá eximirse del deber de asistencia, cuando se hubiere hecho cargo efectivamente del paciente otro profesional competente;</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b) Trato digno y respetuoso. El paciente tiene el derecho a que los agentes del sistema de salud intervinientes, le otorguen un trato digno, con respeto a sus convicciones personales y morales, principalmente las relacionadas con sus condiciones socioculturales, de género, de pudor y a su intimidad, cualquiera sea el padecimiento que presente, y se haga extensivo a los familiares o acompañantes;</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c) Intimidad. Toda actividad médico - asistencial tendiente a obtener, clasificar, utilizar, administrar, custodiar y transmitir información y documentación clínica del paciente debe observar el estricto respeto por la dignidad humana y la autonomía de la voluntad, así como el debido resguardo de la intimidad del mismo y la confidencialidad de sus datos sensibles, sin perjuicio de las previsiones contenidas en la Ley Nº 25.326;</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d) Confidencialidad. El paciente tiene derecho a que toda persona que participe en la elaboración o manipulación de la documentación clínica, o bien tenga acceso al contenido de la misma, guarde la debida reserva, salvo expresa disposición en contrario emanada de autoridad judicial competente o autorización del propio paciente;</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e) Autonomía de la voluntad. El paciente tiene derecho a aceptar o rechazar determinadas terapias o procedimientos médicos o biológicos, con o sin expresión de causa, como así también a revocar posteriormente su manifestación de la voluntad.</w:t>
      </w:r>
      <w:r w:rsidRPr="00E96FC0">
        <w:rPr>
          <w:rFonts w:ascii="Baskerville Old Face" w:eastAsia="Calibri" w:hAnsi="Baskerville Old Face"/>
          <w:b/>
          <w:sz w:val="22"/>
          <w:szCs w:val="22"/>
          <w:lang w:eastAsia="en-US"/>
        </w:rPr>
        <w:br/>
      </w:r>
      <w:r w:rsidRPr="00E96FC0">
        <w:rPr>
          <w:rFonts w:ascii="Baskerville Old Face" w:eastAsia="Calibri" w:hAnsi="Baskerville Old Face"/>
          <w:sz w:val="22"/>
          <w:szCs w:val="22"/>
          <w:lang w:eastAsia="en-US"/>
        </w:rPr>
        <w:br/>
        <w:t>Los niños, niñas y adolescentes tienen derecho a intervenir en los términos de la Ley 26.061 a los fines de la toma de decisión sobre terapias o procedimientos médicos o biológicos que involucren su vida o salud.</w:t>
      </w:r>
      <w:r w:rsidRPr="00E96FC0">
        <w:rPr>
          <w:rFonts w:ascii="Baskerville Old Face" w:eastAsia="Calibri" w:hAnsi="Baskerville Old Face"/>
          <w:sz w:val="22"/>
          <w:szCs w:val="22"/>
          <w:lang w:eastAsia="en-US"/>
        </w:rPr>
        <w:br/>
      </w:r>
      <w:r w:rsidRPr="00E96FC0">
        <w:rPr>
          <w:rFonts w:ascii="Baskerville Old Face" w:eastAsia="Calibri" w:hAnsi="Baskerville Old Face"/>
          <w:sz w:val="22"/>
          <w:szCs w:val="22"/>
          <w:lang w:eastAsia="en-US"/>
        </w:rPr>
        <w:br/>
        <w:t xml:space="preserve">En el marco de esta potestad, el paciente que presente una enfermedad irreversible, incurable o se encuentre en estadio terminal, o haya sufrido lesiones que lo coloquen en igual situación, informado en forma fehaciente, tiene el derecho a manifestar su voluntad en cuanto al rechazo de procedimientos quirúrgicos, de reanimación artificial o al retiro de medidas de soporte vital cuando sean extraordinarias </w:t>
      </w:r>
      <w:r w:rsidRPr="00E96FC0">
        <w:rPr>
          <w:rFonts w:ascii="Baskerville Old Face" w:eastAsia="Calibri" w:hAnsi="Baskerville Old Face"/>
          <w:sz w:val="22"/>
          <w:szCs w:val="22"/>
          <w:lang w:eastAsia="en-US"/>
        </w:rPr>
        <w:lastRenderedPageBreak/>
        <w:t>o desproporcionadas en relación con la perspectiva de mejoría, o produzcan un sufrimiento desmesurado. También podrá rechazar procedimientos de hidratación o alimentación cuando los mismos produzcan como único efecto la prolongación en el tiempo de ese estadio terminal irreversible o incurable.</w:t>
      </w:r>
      <w:r w:rsidRPr="00E96FC0">
        <w:rPr>
          <w:rFonts w:ascii="Baskerville Old Face" w:eastAsia="Calibri" w:hAnsi="Baskerville Old Face"/>
          <w:sz w:val="22"/>
          <w:szCs w:val="22"/>
          <w:lang w:eastAsia="en-US"/>
        </w:rPr>
        <w:br/>
      </w:r>
      <w:r w:rsidRPr="00E96FC0">
        <w:rPr>
          <w:rFonts w:ascii="Baskerville Old Face" w:eastAsia="Calibri" w:hAnsi="Baskerville Old Face"/>
          <w:sz w:val="22"/>
          <w:szCs w:val="22"/>
          <w:lang w:eastAsia="en-US"/>
        </w:rPr>
        <w:br/>
      </w:r>
      <w:r w:rsidRPr="00E96FC0">
        <w:rPr>
          <w:rFonts w:ascii="Baskerville Old Face" w:eastAsia="Calibri" w:hAnsi="Baskerville Old Face"/>
          <w:b/>
          <w:sz w:val="22"/>
          <w:szCs w:val="22"/>
          <w:lang w:eastAsia="en-US"/>
        </w:rPr>
        <w:t>En todos los casos la negativa o el rechazo de los procedimientos mencionados no significará la interrupción de aquellas medidas y acciones para el adecuado control y alivio del sufrimiento del paciente. </w:t>
      </w:r>
      <w:r w:rsidRPr="00E96FC0">
        <w:rPr>
          <w:rFonts w:ascii="Baskerville Old Face" w:eastAsia="Calibri" w:hAnsi="Baskerville Old Face"/>
          <w:b/>
          <w:i/>
          <w:iCs/>
          <w:sz w:val="22"/>
          <w:szCs w:val="22"/>
          <w:lang w:eastAsia="en-US"/>
        </w:rPr>
        <w:t>(Inciso sustituido por art. 1° de la </w:t>
      </w:r>
      <w:hyperlink r:id="rId8" w:history="1">
        <w:r w:rsidRPr="00E96FC0">
          <w:rPr>
            <w:rFonts w:ascii="Baskerville Old Face" w:eastAsia="Calibri" w:hAnsi="Baskerville Old Face"/>
            <w:b/>
            <w:i/>
            <w:iCs/>
            <w:color w:val="0000FF" w:themeColor="hyperlink"/>
            <w:sz w:val="22"/>
            <w:szCs w:val="22"/>
            <w:u w:val="single"/>
            <w:lang w:eastAsia="en-US"/>
          </w:rPr>
          <w:t>Ley N° 26.742</w:t>
        </w:r>
      </w:hyperlink>
      <w:r w:rsidRPr="00E96FC0">
        <w:rPr>
          <w:rFonts w:ascii="Baskerville Old Face" w:eastAsia="Calibri" w:hAnsi="Baskerville Old Face"/>
          <w:b/>
          <w:i/>
          <w:iCs/>
          <w:sz w:val="22"/>
          <w:szCs w:val="22"/>
          <w:lang w:eastAsia="en-US"/>
        </w:rPr>
        <w:t> B.O. 24/5/2012)</w:t>
      </w:r>
    </w:p>
    <w:p w:rsidR="00E96FC0" w:rsidRPr="00E96FC0" w:rsidRDefault="00E96FC0" w:rsidP="00E96FC0">
      <w:pPr>
        <w:spacing w:after="200" w:line="276" w:lineRule="auto"/>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f) Información Sanitaria. El paciente tiene derecho a recibir la información sanitaria necesaria, vinculada a su salud. El derecho a la información sanitaria incluye el de no recibir la mencionada información.</w:t>
      </w:r>
    </w:p>
    <w:p w:rsidR="00E96FC0" w:rsidRPr="00E96FC0" w:rsidRDefault="00E96FC0" w:rsidP="00E96FC0">
      <w:pPr>
        <w:spacing w:after="200" w:line="276" w:lineRule="auto"/>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g) Interconsulta Médica. El paciente tiene derecho a recibir la información sanitaria por escrito, a fin de obtener una segunda opinión sobre el diagnóstico, pronóstico o tratamiento relacionados con su estado de salud.</w:t>
      </w:r>
    </w:p>
    <w:p w:rsidR="00E96FC0" w:rsidRPr="00E96FC0" w:rsidRDefault="00E96FC0" w:rsidP="00E96FC0">
      <w:pPr>
        <w:spacing w:after="200" w:line="276" w:lineRule="auto"/>
        <w:jc w:val="both"/>
        <w:rPr>
          <w:rFonts w:ascii="Baskerville Old Face" w:eastAsia="Calibri" w:hAnsi="Baskerville Old Face"/>
          <w:b/>
          <w:sz w:val="22"/>
          <w:szCs w:val="22"/>
          <w:lang w:val="en-US" w:eastAsia="en-US"/>
        </w:rPr>
      </w:pPr>
      <w:r w:rsidRPr="00E96FC0">
        <w:rPr>
          <w:rFonts w:ascii="Baskerville Old Face" w:eastAsia="Calibri" w:hAnsi="Baskerville Old Face"/>
          <w:b/>
          <w:sz w:val="22"/>
          <w:szCs w:val="22"/>
          <w:lang w:val="en-US" w:eastAsia="en-US"/>
        </w:rPr>
        <w:t>Capítulo III</w:t>
      </w:r>
    </w:p>
    <w:p w:rsidR="00E96FC0" w:rsidRPr="00E96FC0" w:rsidRDefault="00E96FC0" w:rsidP="00E96FC0">
      <w:pPr>
        <w:spacing w:after="200" w:line="276" w:lineRule="auto"/>
        <w:jc w:val="both"/>
        <w:rPr>
          <w:rFonts w:ascii="Baskerville Old Face" w:eastAsia="Calibri" w:hAnsi="Baskerville Old Face"/>
          <w:b/>
          <w:sz w:val="22"/>
          <w:szCs w:val="22"/>
          <w:lang w:val="en-US" w:eastAsia="en-US"/>
        </w:rPr>
      </w:pPr>
      <w:r w:rsidRPr="00E96FC0">
        <w:rPr>
          <w:rFonts w:ascii="Baskerville Old Face" w:eastAsia="Calibri" w:hAnsi="Baskerville Old Face"/>
          <w:b/>
          <w:sz w:val="22"/>
          <w:szCs w:val="22"/>
          <w:lang w:val="en-US" w:eastAsia="en-US"/>
        </w:rPr>
        <w:t>DEL CONSENTIMIENTO INFORMADO</w:t>
      </w:r>
    </w:p>
    <w:p w:rsidR="00E96FC0" w:rsidRPr="00E96FC0" w:rsidRDefault="00E96FC0" w:rsidP="00E96FC0">
      <w:pPr>
        <w:spacing w:after="200" w:line="276" w:lineRule="auto"/>
        <w:rPr>
          <w:rFonts w:ascii="Baskerville Old Face" w:eastAsia="Calibri" w:hAnsi="Baskerville Old Face"/>
          <w:sz w:val="22"/>
          <w:szCs w:val="22"/>
          <w:lang w:eastAsia="en-US"/>
        </w:rPr>
      </w:pPr>
      <w:r w:rsidRPr="00E96FC0">
        <w:rPr>
          <w:rFonts w:ascii="Baskerville Old Face" w:eastAsia="Calibri" w:hAnsi="Baskerville Old Face"/>
          <w:b/>
          <w:bCs/>
          <w:sz w:val="22"/>
          <w:szCs w:val="22"/>
          <w:lang w:eastAsia="en-US"/>
        </w:rPr>
        <w:t>ARTICULO 5º </w:t>
      </w:r>
      <w:r w:rsidRPr="00E96FC0">
        <w:rPr>
          <w:rFonts w:ascii="Baskerville Old Face" w:eastAsia="Calibri" w:hAnsi="Baskerville Old Face"/>
          <w:b/>
          <w:sz w:val="22"/>
          <w:szCs w:val="22"/>
          <w:lang w:eastAsia="en-US"/>
        </w:rPr>
        <w:t>— Definición. Entiéndese por consentimiento informado la declaración de voluntad suficiente efectuada por el paciente, o por sus representantes legales, en su caso, emitida luego de recibir, por parte del profesional interviniente, información clara, precisa y adecuada con respecto a:</w:t>
      </w:r>
      <w:r w:rsidRPr="00E96FC0">
        <w:rPr>
          <w:rFonts w:ascii="Baskerville Old Face" w:eastAsia="Calibri" w:hAnsi="Baskerville Old Face"/>
          <w:b/>
          <w:sz w:val="22"/>
          <w:szCs w:val="22"/>
          <w:lang w:eastAsia="en-US"/>
        </w:rPr>
        <w:br/>
      </w:r>
      <w:r w:rsidRPr="00E96FC0">
        <w:rPr>
          <w:rFonts w:ascii="Baskerville Old Face" w:eastAsia="Calibri" w:hAnsi="Baskerville Old Face"/>
          <w:b/>
          <w:sz w:val="22"/>
          <w:szCs w:val="22"/>
          <w:lang w:eastAsia="en-US"/>
        </w:rPr>
        <w:br/>
      </w:r>
      <w:r w:rsidRPr="00E96FC0">
        <w:rPr>
          <w:rFonts w:ascii="Baskerville Old Face" w:eastAsia="Calibri" w:hAnsi="Baskerville Old Face"/>
          <w:sz w:val="22"/>
          <w:szCs w:val="22"/>
          <w:lang w:eastAsia="en-US"/>
        </w:rPr>
        <w:t>a) Su estado de salud;</w:t>
      </w:r>
      <w:r w:rsidRPr="00E96FC0">
        <w:rPr>
          <w:rFonts w:ascii="Baskerville Old Face" w:eastAsia="Calibri" w:hAnsi="Baskerville Old Face"/>
          <w:sz w:val="22"/>
          <w:szCs w:val="22"/>
          <w:lang w:eastAsia="en-US"/>
        </w:rPr>
        <w:br/>
      </w:r>
      <w:r w:rsidRPr="00E96FC0">
        <w:rPr>
          <w:rFonts w:ascii="Baskerville Old Face" w:eastAsia="Calibri" w:hAnsi="Baskerville Old Face"/>
          <w:sz w:val="22"/>
          <w:szCs w:val="22"/>
          <w:lang w:eastAsia="en-US"/>
        </w:rPr>
        <w:br/>
      </w:r>
      <w:r w:rsidRPr="00E96FC0">
        <w:rPr>
          <w:rFonts w:ascii="Baskerville Old Face" w:eastAsia="Calibri" w:hAnsi="Baskerville Old Face"/>
          <w:b/>
          <w:sz w:val="22"/>
          <w:szCs w:val="22"/>
          <w:lang w:eastAsia="en-US"/>
        </w:rPr>
        <w:t>b) El procedimiento propuesto, con especificación de los objetivos perseguidos;</w:t>
      </w:r>
      <w:r w:rsidRPr="00E96FC0">
        <w:rPr>
          <w:rFonts w:ascii="Baskerville Old Face" w:eastAsia="Calibri" w:hAnsi="Baskerville Old Face"/>
          <w:b/>
          <w:sz w:val="22"/>
          <w:szCs w:val="22"/>
          <w:lang w:eastAsia="en-US"/>
        </w:rPr>
        <w:br/>
      </w:r>
      <w:r w:rsidRPr="00E96FC0">
        <w:rPr>
          <w:rFonts w:ascii="Baskerville Old Face" w:eastAsia="Calibri" w:hAnsi="Baskerville Old Face"/>
          <w:sz w:val="22"/>
          <w:szCs w:val="22"/>
          <w:lang w:eastAsia="en-US"/>
        </w:rPr>
        <w:br/>
      </w:r>
      <w:r w:rsidRPr="00E96FC0">
        <w:rPr>
          <w:rFonts w:ascii="Baskerville Old Face" w:eastAsia="Calibri" w:hAnsi="Baskerville Old Face"/>
          <w:b/>
          <w:sz w:val="22"/>
          <w:szCs w:val="22"/>
          <w:lang w:eastAsia="en-US"/>
        </w:rPr>
        <w:t>c) Los beneficios esperados del procedimiento;</w:t>
      </w:r>
      <w:r w:rsidRPr="00E96FC0">
        <w:rPr>
          <w:rFonts w:ascii="Baskerville Old Face" w:eastAsia="Calibri" w:hAnsi="Baskerville Old Face"/>
          <w:b/>
          <w:sz w:val="22"/>
          <w:szCs w:val="22"/>
          <w:lang w:eastAsia="en-US"/>
        </w:rPr>
        <w:br/>
      </w:r>
      <w:r w:rsidRPr="00E96FC0">
        <w:rPr>
          <w:rFonts w:ascii="Baskerville Old Face" w:eastAsia="Calibri" w:hAnsi="Baskerville Old Face"/>
          <w:b/>
          <w:sz w:val="22"/>
          <w:szCs w:val="22"/>
          <w:lang w:eastAsia="en-US"/>
        </w:rPr>
        <w:br/>
        <w:t>d) Los riesgos, molestias y efectos adversos previsibles;</w:t>
      </w:r>
      <w:r w:rsidRPr="00E96FC0">
        <w:rPr>
          <w:rFonts w:ascii="Baskerville Old Face" w:eastAsia="Calibri" w:hAnsi="Baskerville Old Face"/>
          <w:b/>
          <w:sz w:val="22"/>
          <w:szCs w:val="22"/>
          <w:lang w:eastAsia="en-US"/>
        </w:rPr>
        <w:br/>
      </w:r>
      <w:r w:rsidRPr="00E96FC0">
        <w:rPr>
          <w:rFonts w:ascii="Baskerville Old Face" w:eastAsia="Calibri" w:hAnsi="Baskerville Old Face"/>
          <w:sz w:val="22"/>
          <w:szCs w:val="22"/>
          <w:lang w:eastAsia="en-US"/>
        </w:rPr>
        <w:br/>
        <w:t>e) La especificación de los procedimientos alternativos y sus riesgos, beneficios y perjuicios en relación con el procedimiento propuesto;</w:t>
      </w:r>
      <w:r w:rsidRPr="00E96FC0">
        <w:rPr>
          <w:rFonts w:ascii="Baskerville Old Face" w:eastAsia="Calibri" w:hAnsi="Baskerville Old Face"/>
          <w:sz w:val="22"/>
          <w:szCs w:val="22"/>
          <w:lang w:eastAsia="en-US"/>
        </w:rPr>
        <w:br/>
      </w:r>
      <w:r w:rsidRPr="00E96FC0">
        <w:rPr>
          <w:rFonts w:ascii="Baskerville Old Face" w:eastAsia="Calibri" w:hAnsi="Baskerville Old Face"/>
          <w:sz w:val="22"/>
          <w:szCs w:val="22"/>
          <w:lang w:eastAsia="en-US"/>
        </w:rPr>
        <w:br/>
        <w:t>f) Las consecuencias previsibles de la no realización del procedimiento propuesto o de los alternativos especificados;</w:t>
      </w:r>
      <w:r w:rsidRPr="00E96FC0">
        <w:rPr>
          <w:rFonts w:ascii="Baskerville Old Face" w:eastAsia="Calibri" w:hAnsi="Baskerville Old Face"/>
          <w:sz w:val="22"/>
          <w:szCs w:val="22"/>
          <w:lang w:eastAsia="en-US"/>
        </w:rPr>
        <w:br/>
      </w:r>
      <w:r w:rsidRPr="00E96FC0">
        <w:rPr>
          <w:rFonts w:ascii="Baskerville Old Face" w:eastAsia="Calibri" w:hAnsi="Baskerville Old Face"/>
          <w:sz w:val="22"/>
          <w:szCs w:val="22"/>
          <w:lang w:eastAsia="en-US"/>
        </w:rPr>
        <w:br/>
        <w:t>g) El derecho que le asiste en caso de padecer una enfermedad irreversible, incurable, o cuando se encuentre en estadio terminal,</w:t>
      </w:r>
      <w:r w:rsidRPr="00E96FC0">
        <w:rPr>
          <w:rFonts w:ascii="Baskerville Old Face" w:eastAsia="Calibri" w:hAnsi="Baskerville Old Face"/>
          <w:sz w:val="22"/>
          <w:szCs w:val="22"/>
          <w:lang w:eastAsia="en-US"/>
        </w:rPr>
        <w:br/>
        <w:t xml:space="preserve">o haya sufrido lesiones que lo coloquen en igual situación, en cuanto al rechazo de procedimientos quirúrgicos, de hidratación, alimentación, de reanimación artificial o al retiro de medidas de soporte vital, cuando sean extraordinarios o desproporcionados en relación con las perspectivas de mejoría, o que produzcan sufrimiento desmesurado, también del derecho de rechazar procedimientos de hidratación y alimentación cuando los mismos produzcan como único efecto la prolongación en el </w:t>
      </w:r>
      <w:r w:rsidRPr="00E96FC0">
        <w:rPr>
          <w:rFonts w:ascii="Baskerville Old Face" w:eastAsia="Calibri" w:hAnsi="Baskerville Old Face"/>
          <w:sz w:val="22"/>
          <w:szCs w:val="22"/>
          <w:lang w:eastAsia="en-US"/>
        </w:rPr>
        <w:lastRenderedPageBreak/>
        <w:t>tiempo de ese estadio terminal irreversible e incurable;</w:t>
      </w:r>
      <w:r w:rsidRPr="00E96FC0">
        <w:rPr>
          <w:rFonts w:ascii="Baskerville Old Face" w:eastAsia="Calibri" w:hAnsi="Baskerville Old Face"/>
          <w:sz w:val="22"/>
          <w:szCs w:val="22"/>
          <w:lang w:eastAsia="en-US"/>
        </w:rPr>
        <w:br/>
      </w:r>
      <w:r w:rsidRPr="00E96FC0">
        <w:rPr>
          <w:rFonts w:ascii="Baskerville Old Face" w:eastAsia="Calibri" w:hAnsi="Baskerville Old Face"/>
          <w:sz w:val="22"/>
          <w:szCs w:val="22"/>
          <w:lang w:eastAsia="en-US"/>
        </w:rPr>
        <w:br/>
        <w:t>h) El derecho a recibir cuidados paliativos integrales en el proceso de atención de su enfermedad o padecimiento.</w:t>
      </w:r>
    </w:p>
    <w:p w:rsidR="00E96FC0" w:rsidRPr="00E96FC0" w:rsidRDefault="00E96FC0" w:rsidP="00E96FC0">
      <w:pPr>
        <w:spacing w:after="200" w:line="276" w:lineRule="auto"/>
        <w:rPr>
          <w:rFonts w:ascii="Baskerville Old Face" w:eastAsia="Calibri" w:hAnsi="Baskerville Old Face"/>
          <w:i/>
          <w:iCs/>
          <w:sz w:val="22"/>
          <w:szCs w:val="22"/>
          <w:lang w:eastAsia="en-US"/>
        </w:rPr>
      </w:pPr>
      <w:r w:rsidRPr="00E96FC0">
        <w:rPr>
          <w:rFonts w:ascii="Baskerville Old Face" w:eastAsia="Calibri" w:hAnsi="Baskerville Old Face"/>
          <w:b/>
          <w:bCs/>
          <w:sz w:val="22"/>
          <w:szCs w:val="22"/>
          <w:lang w:eastAsia="en-US"/>
        </w:rPr>
        <w:t>ARTICULO 6º </w:t>
      </w:r>
      <w:r w:rsidRPr="00E96FC0">
        <w:rPr>
          <w:rFonts w:ascii="Baskerville Old Face" w:eastAsia="Calibri" w:hAnsi="Baskerville Old Face"/>
          <w:b/>
          <w:sz w:val="22"/>
          <w:szCs w:val="22"/>
          <w:lang w:eastAsia="en-US"/>
        </w:rPr>
        <w:t>— Obligatoriedad. Toda actuación profesional en el ámbito médico-sanitario, sea público o privado, requiere, con carácter general y dentro de los límites que se fijen por vía reglamentaria, el previo consentimiento informado del paciente.</w:t>
      </w:r>
      <w:r w:rsidRPr="00E96FC0">
        <w:rPr>
          <w:rFonts w:ascii="Baskerville Old Face" w:eastAsia="Calibri" w:hAnsi="Baskerville Old Face"/>
          <w:b/>
          <w:sz w:val="22"/>
          <w:szCs w:val="22"/>
          <w:lang w:eastAsia="en-US"/>
        </w:rPr>
        <w:br/>
      </w:r>
      <w:r w:rsidRPr="00E96FC0">
        <w:rPr>
          <w:rFonts w:ascii="Baskerville Old Face" w:eastAsia="Calibri" w:hAnsi="Baskerville Old Face"/>
          <w:b/>
          <w:sz w:val="22"/>
          <w:szCs w:val="22"/>
          <w:lang w:eastAsia="en-US"/>
        </w:rPr>
        <w:br/>
        <w:t>En el supuesto de incapacidad del paciente, o imposibilidad de brindar el consentimiento informado a causa de su estado físico o psíquico, el mismo podrá ser dado por las personas mencionadas en el artículo 21 de la Ley 24.193, con los requisitos y con el orden de prelación allí establecido.</w:t>
      </w:r>
      <w:r w:rsidRPr="00E96FC0">
        <w:rPr>
          <w:rFonts w:ascii="Baskerville Old Face" w:eastAsia="Calibri" w:hAnsi="Baskerville Old Face"/>
          <w:b/>
          <w:sz w:val="22"/>
          <w:szCs w:val="22"/>
          <w:lang w:eastAsia="en-US"/>
        </w:rPr>
        <w:br/>
      </w:r>
      <w:r w:rsidRPr="00E96FC0">
        <w:rPr>
          <w:rFonts w:ascii="Baskerville Old Face" w:eastAsia="Calibri" w:hAnsi="Baskerville Old Face"/>
          <w:b/>
          <w:sz w:val="22"/>
          <w:szCs w:val="22"/>
          <w:lang w:eastAsia="en-US"/>
        </w:rPr>
        <w:br/>
      </w:r>
      <w:r w:rsidRPr="00E96FC0">
        <w:rPr>
          <w:rFonts w:ascii="Baskerville Old Face" w:eastAsia="Calibri" w:hAnsi="Baskerville Old Face"/>
          <w:sz w:val="22"/>
          <w:szCs w:val="22"/>
          <w:lang w:eastAsia="en-US"/>
        </w:rPr>
        <w:t>Sin perjuicio de la aplicación del párrafo anterior, deberá garantizarse que el paciente en la medida de sus posibilidades, participe en la toma de decisiones a lo largo del proceso sanitario.</w:t>
      </w:r>
      <w:r w:rsidRPr="00E96FC0">
        <w:rPr>
          <w:rFonts w:ascii="Baskerville Old Face" w:eastAsia="Calibri" w:hAnsi="Baskerville Old Face"/>
          <w:sz w:val="22"/>
          <w:szCs w:val="22"/>
          <w:lang w:eastAsia="en-US"/>
        </w:rPr>
        <w:br/>
      </w:r>
      <w:r w:rsidRPr="00E96FC0">
        <w:rPr>
          <w:rFonts w:ascii="Baskerville Old Face" w:eastAsia="Calibri" w:hAnsi="Baskerville Old Face"/>
          <w:sz w:val="22"/>
          <w:szCs w:val="22"/>
          <w:lang w:eastAsia="en-US"/>
        </w:rPr>
        <w:br/>
      </w:r>
      <w:r w:rsidRPr="00E96FC0">
        <w:rPr>
          <w:rFonts w:ascii="Baskerville Old Face" w:eastAsia="Calibri" w:hAnsi="Baskerville Old Face"/>
          <w:i/>
          <w:iCs/>
          <w:sz w:val="22"/>
          <w:szCs w:val="22"/>
          <w:lang w:eastAsia="en-US"/>
        </w:rPr>
        <w:t>(Artículo sustituido por art. 3° de la </w:t>
      </w:r>
      <w:hyperlink r:id="rId9" w:history="1">
        <w:r w:rsidRPr="00E96FC0">
          <w:rPr>
            <w:rFonts w:ascii="Baskerville Old Face" w:eastAsia="Calibri" w:hAnsi="Baskerville Old Face"/>
            <w:i/>
            <w:iCs/>
            <w:color w:val="0000FF" w:themeColor="hyperlink"/>
            <w:sz w:val="22"/>
            <w:szCs w:val="22"/>
            <w:u w:val="single"/>
            <w:lang w:eastAsia="en-US"/>
          </w:rPr>
          <w:t>Ley N° 26.742</w:t>
        </w:r>
      </w:hyperlink>
      <w:r w:rsidRPr="00E96FC0">
        <w:rPr>
          <w:rFonts w:ascii="Baskerville Old Face" w:eastAsia="Calibri" w:hAnsi="Baskerville Old Face"/>
          <w:i/>
          <w:iCs/>
          <w:sz w:val="22"/>
          <w:szCs w:val="22"/>
          <w:lang w:eastAsia="en-US"/>
        </w:rPr>
        <w:t> B.O. 24/5/2012)</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bCs/>
          <w:sz w:val="22"/>
          <w:szCs w:val="22"/>
          <w:lang w:eastAsia="en-US"/>
        </w:rPr>
        <w:t>ARTICULO 8º </w:t>
      </w:r>
      <w:r w:rsidRPr="00E96FC0">
        <w:rPr>
          <w:rFonts w:ascii="Baskerville Old Face" w:eastAsia="Calibri" w:hAnsi="Baskerville Old Face"/>
          <w:b/>
          <w:sz w:val="22"/>
          <w:szCs w:val="22"/>
          <w:lang w:eastAsia="en-US"/>
        </w:rPr>
        <w:t>— Exposición con fines académicos. Se requiere el consentimiento del paciente o en su defecto, el de sus representantes legales, y del profesional de la salud interviniente ante exposiciones con fines académicos, con carácter previo a la realización de dicha exposición.</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bCs/>
          <w:sz w:val="22"/>
          <w:szCs w:val="22"/>
          <w:lang w:eastAsia="en-US"/>
        </w:rPr>
        <w:t>Artículo 11 bis</w:t>
      </w:r>
      <w:r w:rsidRPr="00E96FC0">
        <w:rPr>
          <w:rFonts w:ascii="Baskerville Old Face" w:eastAsia="Calibri" w:hAnsi="Baskerville Old Face"/>
          <w:b/>
          <w:sz w:val="22"/>
          <w:szCs w:val="22"/>
          <w:lang w:eastAsia="en-US"/>
        </w:rPr>
        <w:t>: Ningún profesional interviniente que haya obrado de acuerdo con las disposiciones de la presente ley está sujeto a responsabilidad civil, penal, ni administrativa, derivadas del cumplimiento de la misma.</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bCs/>
          <w:sz w:val="22"/>
          <w:szCs w:val="22"/>
          <w:lang w:eastAsia="en-US"/>
        </w:rPr>
        <w:t>ARTICULO 18. </w:t>
      </w:r>
      <w:r w:rsidRPr="00E96FC0">
        <w:rPr>
          <w:rFonts w:ascii="Baskerville Old Face" w:eastAsia="Calibri" w:hAnsi="Baskerville Old Face"/>
          <w:b/>
          <w:sz w:val="22"/>
          <w:szCs w:val="22"/>
          <w:lang w:eastAsia="en-US"/>
        </w:rPr>
        <w:t>— Inviolabilidad. Depositarios. La historia clínica es inviolable. Los establecimientos asistenciales públicos o privados y los profesionales de la salud, en su calidad de titulares de consultorios privados, tienen a su cargo su guarda y custodia, asumiendo el carácter de depositarios de aquélla, y debiendo instrumentar los medios y recursos necesarios a fin de evitar el acceso a la información contenida en ella por personas no autorizadas. A los depositarios les son extensivas y aplicables las disposiciones que en materia contractual se establecen en el Libro II, Sección III, del Título XV del Código Civil, "Del depósito", y normas concordantes.</w:t>
      </w:r>
    </w:p>
    <w:p w:rsidR="00E96FC0" w:rsidRPr="00E96FC0" w:rsidRDefault="00E96FC0" w:rsidP="00E96FC0">
      <w:pPr>
        <w:spacing w:after="200" w:line="276" w:lineRule="auto"/>
        <w:rPr>
          <w:rFonts w:ascii="Baskerville Old Face" w:eastAsia="Calibri" w:hAnsi="Baskerville Old Face"/>
          <w:sz w:val="22"/>
          <w:szCs w:val="22"/>
          <w:lang w:eastAsia="en-US"/>
        </w:rPr>
      </w:pPr>
      <w:r w:rsidRPr="00E96FC0">
        <w:rPr>
          <w:rFonts w:ascii="Baskerville Old Face" w:eastAsia="Calibri" w:hAnsi="Baskerville Old Face"/>
          <w:sz w:val="22"/>
          <w:szCs w:val="22"/>
          <w:lang w:eastAsia="en-US"/>
        </w:rPr>
        <w:t>La obligación impuesta en el párrafo precedente debe regir durante el plazo mínimo de DIEZ (10) años de prescripción liberatoria de la responsabilidad contractual. Dicho plazo se computa desde la última actuación registrada en la historia clínica y vencido el mismo, el depositario dispondrá de la misma en el modo y forma que determine la reglamentación.</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bCs/>
          <w:sz w:val="22"/>
          <w:szCs w:val="22"/>
          <w:lang w:eastAsia="en-US"/>
        </w:rPr>
        <w:t>ARTICULO 21. </w:t>
      </w:r>
      <w:r w:rsidRPr="00E96FC0">
        <w:rPr>
          <w:rFonts w:ascii="Baskerville Old Face" w:eastAsia="Calibri" w:hAnsi="Baskerville Old Face"/>
          <w:b/>
          <w:sz w:val="22"/>
          <w:szCs w:val="22"/>
          <w:lang w:eastAsia="en-US"/>
        </w:rPr>
        <w:t xml:space="preserve">— Sanciones. Sin perjuicio de la responsabilidad penal o civil que pudiere corresponder, los incumplimientos de las obligaciones emergentes de la presente ley por parte de los profesionales y responsables de los establecimientos asistenciales constituirán falta grave, siendo pasibles en la jurisdicción nacional de las sanciones previstas en el título VIII de la Ley 17.132 —Régimen Legal del Ejercicio de la Medicina, Odontología y Actividades Auxiliares de las mismas— y, en las </w:t>
      </w:r>
      <w:r w:rsidRPr="00E96FC0">
        <w:rPr>
          <w:rFonts w:ascii="Baskerville Old Face" w:eastAsia="Calibri" w:hAnsi="Baskerville Old Face"/>
          <w:b/>
          <w:sz w:val="22"/>
          <w:szCs w:val="22"/>
          <w:lang w:eastAsia="en-US"/>
        </w:rPr>
        <w:lastRenderedPageBreak/>
        <w:t>jurisdicciones locales, serán pasibles de las sanciones de similar tenor que se correspondan con el régimen legal del ejercicio de la medicina que rija en cada una de ellas.</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LEY DE PROTECCION DE DATOS NRO. 25326.</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bCs/>
          <w:sz w:val="22"/>
          <w:szCs w:val="22"/>
          <w:lang w:eastAsia="en-US"/>
        </w:rPr>
        <w:t>ARTICULO 8° </w:t>
      </w:r>
      <w:r w:rsidRPr="00E96FC0">
        <w:rPr>
          <w:rFonts w:ascii="Baskerville Old Face" w:eastAsia="Calibri" w:hAnsi="Baskerville Old Face"/>
          <w:b/>
          <w:sz w:val="22"/>
          <w:szCs w:val="22"/>
          <w:lang w:eastAsia="en-US"/>
        </w:rPr>
        <w:t>— (Datos relativos a la salud).</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Los establecimientos sanitarios públicos o privados y los profesionales vinculados a las ciencias de la salud pueden recolectar y tratar los datos personales relativos a la salud física o mental de los pacientes que acudan a los mismos o que estén o hubieren estado bajo tratamiento de aquéllos, respetando los principios del secreto profesional.</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bCs/>
          <w:sz w:val="22"/>
          <w:szCs w:val="22"/>
          <w:lang w:eastAsia="en-US"/>
        </w:rPr>
        <w:t>ARTICULO 9° </w:t>
      </w:r>
      <w:r w:rsidRPr="00E96FC0">
        <w:rPr>
          <w:rFonts w:ascii="Baskerville Old Face" w:eastAsia="Calibri" w:hAnsi="Baskerville Old Face"/>
          <w:b/>
          <w:sz w:val="22"/>
          <w:szCs w:val="22"/>
          <w:lang w:eastAsia="en-US"/>
        </w:rPr>
        <w:t>— (Seguridad de los datos).</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1. El responsable o usuario del archivo de datos debe adoptar las medidas técnicas y organizativas que resulten necesarias para garantizar la seguridad y confidencialidad de los datos personales, de modo de evitar su adulteración, pérdida, consulta o tratamiento no autorizado, y que permitan detectar desviaciones, intencionales o no, de información, ya sea que los riesgos provengan de la acción humana o del medio técnico utilizado.</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2. Queda prohibido registrar datos personales en archivos, registros o bancos que no reúnan condiciones técnicas de integridad y seguridad.</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bCs/>
          <w:sz w:val="22"/>
          <w:szCs w:val="22"/>
          <w:lang w:eastAsia="en-US"/>
        </w:rPr>
        <w:t>ARTICULO 10. </w:t>
      </w:r>
      <w:r w:rsidRPr="00E96FC0">
        <w:rPr>
          <w:rFonts w:ascii="Baskerville Old Face" w:eastAsia="Calibri" w:hAnsi="Baskerville Old Face"/>
          <w:b/>
          <w:sz w:val="22"/>
          <w:szCs w:val="22"/>
          <w:lang w:eastAsia="en-US"/>
        </w:rPr>
        <w:t>— (Deber de confidencialidad).</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1. El responsable y las personas que intervengan en cualquier fase del tratamiento de datos personales están obligados al secreto profesional respecto de los mismos. Tal obligación subsistirá aun después de finalizada su relación con el titular del archivo de datos.</w:t>
      </w:r>
    </w:p>
    <w:p w:rsidR="00E96FC0" w:rsidRPr="00E96FC0" w:rsidRDefault="00E96FC0" w:rsidP="00E96FC0">
      <w:pPr>
        <w:spacing w:after="200" w:line="276" w:lineRule="auto"/>
        <w:rPr>
          <w:rFonts w:ascii="Baskerville Old Face" w:eastAsia="Calibri" w:hAnsi="Baskerville Old Face"/>
          <w:b/>
          <w:sz w:val="22"/>
          <w:szCs w:val="22"/>
          <w:lang w:eastAsia="en-US"/>
        </w:rPr>
      </w:pPr>
      <w:r w:rsidRPr="00E96FC0">
        <w:rPr>
          <w:rFonts w:ascii="Baskerville Old Face" w:eastAsia="Calibri" w:hAnsi="Baskerville Old Face"/>
          <w:b/>
          <w:sz w:val="22"/>
          <w:szCs w:val="22"/>
          <w:lang w:eastAsia="en-US"/>
        </w:rPr>
        <w:t>2. El obligado podrá ser relevado del deber de secreto por resolución judicial y cuando medien razones fundadas relativas a la seguridad pública, la defensa nacional o la salud pública.</w:t>
      </w:r>
    </w:p>
    <w:p w:rsidR="00E96FC0" w:rsidRPr="00E96FC0" w:rsidRDefault="00E96FC0" w:rsidP="00E96FC0">
      <w:pPr>
        <w:spacing w:after="200" w:line="276" w:lineRule="auto"/>
        <w:rPr>
          <w:rFonts w:ascii="Baskerville Old Face" w:eastAsia="Calibri" w:hAnsi="Baskerville Old Face"/>
          <w:b/>
          <w:sz w:val="22"/>
          <w:szCs w:val="22"/>
          <w:lang w:eastAsia="en-US"/>
        </w:rPr>
      </w:pPr>
    </w:p>
    <w:p w:rsidR="00E96FC0" w:rsidRDefault="00E96FC0" w:rsidP="00E96FC0">
      <w:pPr>
        <w:spacing w:after="200" w:line="276" w:lineRule="auto"/>
        <w:rPr>
          <w:rFonts w:ascii="Baskerville Old Face" w:eastAsia="Calibri" w:hAnsi="Baskerville Old Face"/>
          <w:b/>
          <w:sz w:val="22"/>
          <w:szCs w:val="22"/>
          <w:lang w:eastAsia="en-US"/>
        </w:rPr>
      </w:pPr>
    </w:p>
    <w:p w:rsidR="00AF756A" w:rsidRDefault="00AF756A" w:rsidP="00E96FC0">
      <w:pPr>
        <w:spacing w:after="200" w:line="276" w:lineRule="auto"/>
        <w:rPr>
          <w:rFonts w:ascii="Baskerville Old Face" w:eastAsia="Calibri" w:hAnsi="Baskerville Old Face"/>
          <w:b/>
          <w:sz w:val="22"/>
          <w:szCs w:val="22"/>
          <w:lang w:eastAsia="en-US"/>
        </w:rPr>
      </w:pPr>
    </w:p>
    <w:p w:rsidR="00AF756A" w:rsidRPr="00E96FC0" w:rsidRDefault="00AF756A" w:rsidP="00E96FC0">
      <w:pPr>
        <w:spacing w:after="200" w:line="276" w:lineRule="auto"/>
        <w:rPr>
          <w:rFonts w:ascii="Baskerville Old Face" w:eastAsia="Calibri" w:hAnsi="Baskerville Old Face"/>
          <w:b/>
          <w:sz w:val="22"/>
          <w:szCs w:val="22"/>
          <w:lang w:eastAsia="en-US"/>
        </w:rPr>
      </w:pPr>
    </w:p>
    <w:p w:rsidR="00E96FC0" w:rsidRPr="00E96FC0" w:rsidRDefault="00E96FC0" w:rsidP="00E96FC0">
      <w:pPr>
        <w:spacing w:after="200" w:line="276" w:lineRule="auto"/>
        <w:rPr>
          <w:rFonts w:ascii="Baskerville Old Face" w:eastAsia="Calibri" w:hAnsi="Baskerville Old Face"/>
          <w:sz w:val="22"/>
          <w:szCs w:val="22"/>
          <w:lang w:eastAsia="en-US"/>
        </w:rPr>
      </w:pPr>
    </w:p>
    <w:p w:rsidR="00D02A5C" w:rsidRPr="00AF756A" w:rsidRDefault="00AF756A" w:rsidP="00AF756A">
      <w:pPr>
        <w:rPr>
          <w:rFonts w:ascii="Baskerville Old Face" w:eastAsia="Calibri" w:hAnsi="Baskerville Old Face"/>
          <w:sz w:val="18"/>
          <w:szCs w:val="18"/>
          <w:lang w:eastAsia="en-US"/>
        </w:rPr>
      </w:pPr>
      <w:r w:rsidRPr="00E96FC0">
        <w:rPr>
          <w:rFonts w:ascii="Baskerville Old Face" w:eastAsia="Calibri" w:hAnsi="Baskerville Old Face"/>
          <w:sz w:val="18"/>
          <w:szCs w:val="18"/>
          <w:lang w:eastAsia="en-US"/>
        </w:rPr>
        <w:t xml:space="preserve">• </w:t>
      </w:r>
      <w:r w:rsidR="00E96FC0" w:rsidRPr="00AF756A">
        <w:rPr>
          <w:rFonts w:ascii="Baskerville Old Face" w:eastAsia="Calibri" w:hAnsi="Baskerville Old Face"/>
          <w:sz w:val="18"/>
          <w:szCs w:val="18"/>
          <w:lang w:eastAsia="en-US"/>
        </w:rPr>
        <w:t xml:space="preserve">LEY NACIONAL DE SALUD MENTAL: N° 26.657 del 02/12/ 2010. Artículos que se refieren al Consentimiento Informado : Art. 7 Inc.j),k) y m); Art. 10 y Art. 16 Inc. C) </w:t>
      </w:r>
    </w:p>
    <w:p w:rsidR="00D02A5C" w:rsidRDefault="00E96FC0" w:rsidP="00AF756A">
      <w:pPr>
        <w:rPr>
          <w:rFonts w:ascii="Baskerville Old Face" w:eastAsia="Calibri" w:hAnsi="Baskerville Old Face"/>
          <w:sz w:val="18"/>
          <w:szCs w:val="18"/>
          <w:lang w:eastAsia="en-US"/>
        </w:rPr>
      </w:pPr>
      <w:r w:rsidRPr="00E96FC0">
        <w:rPr>
          <w:rFonts w:ascii="Baskerville Old Face" w:eastAsia="Calibri" w:hAnsi="Baskerville Old Face"/>
          <w:sz w:val="18"/>
          <w:szCs w:val="18"/>
          <w:lang w:eastAsia="en-US"/>
        </w:rPr>
        <w:t xml:space="preserve">• Principios para la Protección de los enfermos mentales y el mejoramiento de la Atención de la Salud Mental (Art. 2 de la Ley 26657) </w:t>
      </w:r>
    </w:p>
    <w:p w:rsidR="00AF756A" w:rsidRDefault="00E96FC0" w:rsidP="00AF756A">
      <w:pPr>
        <w:rPr>
          <w:rFonts w:ascii="Baskerville Old Face" w:eastAsia="Calibri" w:hAnsi="Baskerville Old Face"/>
          <w:sz w:val="18"/>
          <w:szCs w:val="18"/>
          <w:lang w:eastAsia="en-US"/>
        </w:rPr>
      </w:pPr>
      <w:r w:rsidRPr="00E96FC0">
        <w:rPr>
          <w:rFonts w:ascii="Baskerville Old Face" w:eastAsia="Calibri" w:hAnsi="Baskerville Old Face"/>
          <w:sz w:val="18"/>
          <w:szCs w:val="18"/>
          <w:lang w:eastAsia="en-US"/>
        </w:rPr>
        <w:t xml:space="preserve">• LEY DE DERECHOS DEL PACIENTE: N° 26.529- Historia Clínica y Consentimiento Informado. </w:t>
      </w:r>
    </w:p>
    <w:p w:rsidR="00E96FC0" w:rsidRPr="00E96FC0" w:rsidRDefault="00E96FC0" w:rsidP="00AF756A">
      <w:pPr>
        <w:rPr>
          <w:rFonts w:ascii="Baskerville Old Face" w:eastAsia="Calibri" w:hAnsi="Baskerville Old Face"/>
          <w:sz w:val="18"/>
          <w:szCs w:val="18"/>
          <w:lang w:eastAsia="en-US"/>
        </w:rPr>
      </w:pPr>
      <w:r w:rsidRPr="00E96FC0">
        <w:rPr>
          <w:rFonts w:ascii="Baskerville Old Face" w:eastAsia="Calibri" w:hAnsi="Baskerville Old Face"/>
          <w:sz w:val="18"/>
          <w:szCs w:val="18"/>
          <w:lang w:val="en-US" w:eastAsia="en-US"/>
        </w:rPr>
        <w:t>• LEY DE PROTECCIÓN DE DATOS: N° 25.326</w:t>
      </w:r>
    </w:p>
    <w:sectPr w:rsidR="00E96FC0" w:rsidRPr="00E96FC0" w:rsidSect="00FB3E9E">
      <w:headerReference w:type="default" r:id="rId10"/>
      <w:footerReference w:type="default" r:id="rId11"/>
      <w:headerReference w:type="first" r:id="rId12"/>
      <w:pgSz w:w="11907" w:h="16839" w:code="9"/>
      <w:pgMar w:top="2835" w:right="1134" w:bottom="1418" w:left="1701" w:header="851"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DF5" w:rsidRDefault="00401DF5" w:rsidP="009F5F5C">
      <w:r>
        <w:separator/>
      </w:r>
    </w:p>
  </w:endnote>
  <w:endnote w:type="continuationSeparator" w:id="0">
    <w:p w:rsidR="00401DF5" w:rsidRDefault="00401DF5" w:rsidP="009F5F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57A" w:rsidRPr="004D2708" w:rsidRDefault="004D2708" w:rsidP="004D2708">
    <w:pPr>
      <w:pStyle w:val="Piedepgina"/>
      <w:jc w:val="center"/>
      <w:rPr>
        <w:rFonts w:ascii="Century Schoolbook" w:hAnsi="Century Schoolbook"/>
        <w:b/>
        <w:bCs/>
        <w:lang w:val="es-ES"/>
      </w:rPr>
    </w:pPr>
    <w:r w:rsidRPr="004D2708">
      <w:rPr>
        <w:rFonts w:ascii="Century Schoolbook" w:hAnsi="Century Schoolbook"/>
        <w:b/>
        <w:bCs/>
        <w:lang w:val="es-ES"/>
      </w:rPr>
      <w:t>SECRETARIA DE POSGRADO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DF5" w:rsidRDefault="00401DF5" w:rsidP="009F5F5C">
      <w:r>
        <w:separator/>
      </w:r>
    </w:p>
  </w:footnote>
  <w:footnote w:type="continuationSeparator" w:id="0">
    <w:p w:rsidR="00401DF5" w:rsidRDefault="00401DF5" w:rsidP="009F5F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296966"/>
      <w:docPartObj>
        <w:docPartGallery w:val="Page Numbers (Top of Page)"/>
        <w:docPartUnique/>
      </w:docPartObj>
    </w:sdtPr>
    <w:sdtContent>
      <w:p w:rsidR="00FB3E9E" w:rsidRDefault="00FB3E9E">
        <w:pPr>
          <w:pStyle w:val="Encabezado"/>
          <w:jc w:val="right"/>
        </w:pPr>
        <w:r>
          <w:rPr>
            <w:noProof/>
          </w:rPr>
          <w:drawing>
            <wp:anchor distT="0" distB="0" distL="114300" distR="114300" simplePos="0" relativeHeight="251666432" behindDoc="0" locked="0" layoutInCell="1" allowOverlap="1">
              <wp:simplePos x="0" y="0"/>
              <wp:positionH relativeFrom="column">
                <wp:posOffset>-781050</wp:posOffset>
              </wp:positionH>
              <wp:positionV relativeFrom="paragraph">
                <wp:posOffset>-372745</wp:posOffset>
              </wp:positionV>
              <wp:extent cx="5760720" cy="1366520"/>
              <wp:effectExtent l="0" t="0" r="0" b="5080"/>
              <wp:wrapNone/>
              <wp:docPr id="2" name="Imagen 2" descr="Membrete RESOLU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RESOLUCION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366520"/>
                      </a:xfrm>
                      <a:prstGeom prst="rect">
                        <a:avLst/>
                      </a:prstGeom>
                      <a:noFill/>
                      <a:ln>
                        <a:noFill/>
                      </a:ln>
                    </pic:spPr>
                  </pic:pic>
                </a:graphicData>
              </a:graphic>
            </wp:anchor>
          </w:drawing>
        </w:r>
      </w:p>
    </w:sdtContent>
  </w:sdt>
  <w:p w:rsidR="009F5F5C" w:rsidRDefault="009F5F5C" w:rsidP="0065208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89" w:rsidRDefault="00120FF2">
    <w:pPr>
      <w:pStyle w:val="Encabezado"/>
    </w:pPr>
    <w:r>
      <w:rPr>
        <w:noProof/>
      </w:rPr>
      <w:drawing>
        <wp:anchor distT="0" distB="0" distL="114300" distR="114300" simplePos="0" relativeHeight="251662336" behindDoc="0" locked="0" layoutInCell="1" allowOverlap="1">
          <wp:simplePos x="0" y="0"/>
          <wp:positionH relativeFrom="column">
            <wp:posOffset>-489585</wp:posOffset>
          </wp:positionH>
          <wp:positionV relativeFrom="paragraph">
            <wp:posOffset>-226060</wp:posOffset>
          </wp:positionV>
          <wp:extent cx="5760720" cy="1366520"/>
          <wp:effectExtent l="0" t="0" r="0" b="5080"/>
          <wp:wrapNone/>
          <wp:docPr id="1" name="Imagen 1" descr="Membrete RESOLU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 RESOLUCIONE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1366520"/>
                  </a:xfrm>
                  <a:prstGeom prst="rect">
                    <a:avLst/>
                  </a:prstGeom>
                  <a:noFill/>
                  <a:ln>
                    <a:noFill/>
                  </a:ln>
                </pic:spPr>
              </pic:pic>
            </a:graphicData>
          </a:graphic>
        </wp:anchor>
      </w:drawing>
    </w:r>
    <w:r w:rsidR="00DC3121">
      <w:rPr>
        <w:noProof/>
      </w:rPr>
      <w:drawing>
        <wp:anchor distT="0" distB="0" distL="114300" distR="114300" simplePos="0" relativeHeight="251656192" behindDoc="0" locked="0" layoutInCell="1" allowOverlap="1">
          <wp:simplePos x="0" y="0"/>
          <wp:positionH relativeFrom="column">
            <wp:posOffset>5280025</wp:posOffset>
          </wp:positionH>
          <wp:positionV relativeFrom="paragraph">
            <wp:posOffset>-426085</wp:posOffset>
          </wp:positionV>
          <wp:extent cx="1000125" cy="1000125"/>
          <wp:effectExtent l="0" t="0" r="0"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00125" cy="10001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44B9"/>
    <w:multiLevelType w:val="hybridMultilevel"/>
    <w:tmpl w:val="5A5AB3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9F5F5C"/>
    <w:rsid w:val="00035492"/>
    <w:rsid w:val="000C4BF3"/>
    <w:rsid w:val="000C753C"/>
    <w:rsid w:val="000F13F5"/>
    <w:rsid w:val="00120FF2"/>
    <w:rsid w:val="00173E95"/>
    <w:rsid w:val="0017624D"/>
    <w:rsid w:val="0019498A"/>
    <w:rsid w:val="001B7EA8"/>
    <w:rsid w:val="001C757A"/>
    <w:rsid w:val="002000C8"/>
    <w:rsid w:val="00237C69"/>
    <w:rsid w:val="0025146E"/>
    <w:rsid w:val="00253127"/>
    <w:rsid w:val="002532AD"/>
    <w:rsid w:val="00272B63"/>
    <w:rsid w:val="00277475"/>
    <w:rsid w:val="00321939"/>
    <w:rsid w:val="003A2665"/>
    <w:rsid w:val="00401DF5"/>
    <w:rsid w:val="00402882"/>
    <w:rsid w:val="00455964"/>
    <w:rsid w:val="004B1B89"/>
    <w:rsid w:val="004C1C4F"/>
    <w:rsid w:val="004D2708"/>
    <w:rsid w:val="004F6DA1"/>
    <w:rsid w:val="00541DF3"/>
    <w:rsid w:val="005533D5"/>
    <w:rsid w:val="006066A4"/>
    <w:rsid w:val="0065208F"/>
    <w:rsid w:val="006546F5"/>
    <w:rsid w:val="006A72CC"/>
    <w:rsid w:val="006D28F5"/>
    <w:rsid w:val="00750755"/>
    <w:rsid w:val="00780F3B"/>
    <w:rsid w:val="007A672D"/>
    <w:rsid w:val="007C190B"/>
    <w:rsid w:val="00845C7A"/>
    <w:rsid w:val="00987E33"/>
    <w:rsid w:val="009943D7"/>
    <w:rsid w:val="00994A84"/>
    <w:rsid w:val="009E2841"/>
    <w:rsid w:val="009F5F5C"/>
    <w:rsid w:val="00A00329"/>
    <w:rsid w:val="00A06906"/>
    <w:rsid w:val="00A23904"/>
    <w:rsid w:val="00A76DBB"/>
    <w:rsid w:val="00A95AC3"/>
    <w:rsid w:val="00AA4BF4"/>
    <w:rsid w:val="00AB3375"/>
    <w:rsid w:val="00AC78D8"/>
    <w:rsid w:val="00AD72E4"/>
    <w:rsid w:val="00AF756A"/>
    <w:rsid w:val="00B64047"/>
    <w:rsid w:val="00B93BEC"/>
    <w:rsid w:val="00BB204D"/>
    <w:rsid w:val="00C95DFE"/>
    <w:rsid w:val="00D02A5C"/>
    <w:rsid w:val="00D75157"/>
    <w:rsid w:val="00D91649"/>
    <w:rsid w:val="00DA5668"/>
    <w:rsid w:val="00DC1F3D"/>
    <w:rsid w:val="00DC3121"/>
    <w:rsid w:val="00DD5363"/>
    <w:rsid w:val="00DE0199"/>
    <w:rsid w:val="00DE65F8"/>
    <w:rsid w:val="00E329A8"/>
    <w:rsid w:val="00E962FB"/>
    <w:rsid w:val="00E96FC0"/>
    <w:rsid w:val="00EF62BC"/>
    <w:rsid w:val="00EF7D82"/>
    <w:rsid w:val="00F15589"/>
    <w:rsid w:val="00F45C3B"/>
    <w:rsid w:val="00FB3340"/>
    <w:rsid w:val="00FB3E9E"/>
    <w:rsid w:val="00FC70DA"/>
    <w:rsid w:val="00FD59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8F5"/>
    <w:rPr>
      <w:rFonts w:ascii="Times New Roman" w:eastAsia="Times New Roman" w:hAnsi="Times New Roman"/>
      <w:lang w:eastAsia="es-ES"/>
    </w:rPr>
  </w:style>
  <w:style w:type="paragraph" w:styleId="Ttulo1">
    <w:name w:val="heading 1"/>
    <w:basedOn w:val="Normal"/>
    <w:next w:val="Normal"/>
    <w:link w:val="Ttulo1Car"/>
    <w:uiPriority w:val="9"/>
    <w:qFormat/>
    <w:rsid w:val="00A2390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semiHidden/>
    <w:unhideWhenUsed/>
    <w:qFormat/>
    <w:rsid w:val="00A23904"/>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5F5C"/>
    <w:rPr>
      <w:rFonts w:ascii="Tahoma" w:eastAsia="Calibri" w:hAnsi="Tahoma" w:cs="Tahoma"/>
      <w:sz w:val="16"/>
      <w:szCs w:val="16"/>
      <w:lang w:val="en-US" w:eastAsia="en-US"/>
    </w:rPr>
  </w:style>
  <w:style w:type="character" w:customStyle="1" w:styleId="TextodegloboCar">
    <w:name w:val="Texto de globo Car"/>
    <w:link w:val="Textodeglobo"/>
    <w:uiPriority w:val="99"/>
    <w:semiHidden/>
    <w:rsid w:val="009F5F5C"/>
    <w:rPr>
      <w:rFonts w:ascii="Tahoma" w:hAnsi="Tahoma" w:cs="Tahoma"/>
      <w:sz w:val="16"/>
      <w:szCs w:val="16"/>
    </w:rPr>
  </w:style>
  <w:style w:type="paragraph" w:styleId="Encabezado">
    <w:name w:val="header"/>
    <w:basedOn w:val="Normal"/>
    <w:link w:val="EncabezadoCar"/>
    <w:uiPriority w:val="99"/>
    <w:unhideWhenUsed/>
    <w:rsid w:val="009F5F5C"/>
    <w:pPr>
      <w:tabs>
        <w:tab w:val="center" w:pos="4419"/>
        <w:tab w:val="right" w:pos="8838"/>
      </w:tabs>
    </w:pPr>
    <w:rPr>
      <w:rFonts w:ascii="Calibri" w:eastAsia="Calibri" w:hAnsi="Calibri"/>
      <w:sz w:val="22"/>
      <w:szCs w:val="22"/>
      <w:lang w:val="en-US" w:eastAsia="en-US"/>
    </w:rPr>
  </w:style>
  <w:style w:type="character" w:customStyle="1" w:styleId="EncabezadoCar">
    <w:name w:val="Encabezado Car"/>
    <w:basedOn w:val="Fuentedeprrafopredeter"/>
    <w:link w:val="Encabezado"/>
    <w:uiPriority w:val="99"/>
    <w:rsid w:val="009F5F5C"/>
  </w:style>
  <w:style w:type="paragraph" w:styleId="Piedepgina">
    <w:name w:val="footer"/>
    <w:basedOn w:val="Normal"/>
    <w:link w:val="PiedepginaCar"/>
    <w:unhideWhenUsed/>
    <w:rsid w:val="009F5F5C"/>
    <w:pPr>
      <w:tabs>
        <w:tab w:val="center" w:pos="4419"/>
        <w:tab w:val="right" w:pos="8838"/>
      </w:tabs>
    </w:pPr>
    <w:rPr>
      <w:rFonts w:ascii="Calibri" w:eastAsia="Calibri" w:hAnsi="Calibri"/>
      <w:sz w:val="22"/>
      <w:szCs w:val="22"/>
      <w:lang w:val="en-US" w:eastAsia="en-US"/>
    </w:rPr>
  </w:style>
  <w:style w:type="character" w:customStyle="1" w:styleId="PiedepginaCar">
    <w:name w:val="Pie de página Car"/>
    <w:basedOn w:val="Fuentedeprrafopredeter"/>
    <w:link w:val="Piedepgina"/>
    <w:uiPriority w:val="99"/>
    <w:rsid w:val="009F5F5C"/>
  </w:style>
  <w:style w:type="paragraph" w:styleId="NormalWeb">
    <w:name w:val="Normal (Web)"/>
    <w:basedOn w:val="Normal"/>
    <w:uiPriority w:val="99"/>
    <w:unhideWhenUsed/>
    <w:rsid w:val="00845C7A"/>
    <w:pPr>
      <w:spacing w:before="100" w:beforeAutospacing="1" w:after="100" w:afterAutospacing="1"/>
    </w:pPr>
    <w:rPr>
      <w:sz w:val="24"/>
      <w:szCs w:val="24"/>
      <w:lang w:val="es-ES"/>
    </w:rPr>
  </w:style>
  <w:style w:type="character" w:customStyle="1" w:styleId="Ttulo1Car">
    <w:name w:val="Título 1 Car"/>
    <w:basedOn w:val="Fuentedeprrafopredeter"/>
    <w:link w:val="Ttulo1"/>
    <w:uiPriority w:val="9"/>
    <w:rsid w:val="00A23904"/>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semiHidden/>
    <w:rsid w:val="00A23904"/>
    <w:rPr>
      <w:rFonts w:asciiTheme="majorHAnsi" w:eastAsiaTheme="majorEastAsia" w:hAnsiTheme="majorHAnsi" w:cstheme="majorBidi"/>
      <w:color w:val="365F91" w:themeColor="accent1" w:themeShade="BF"/>
      <w:sz w:val="26"/>
      <w:szCs w:val="26"/>
      <w:lang w:eastAsia="en-US"/>
    </w:rPr>
  </w:style>
  <w:style w:type="paragraph" w:styleId="HTMLconformatoprevio">
    <w:name w:val="HTML Preformatted"/>
    <w:basedOn w:val="Normal"/>
    <w:link w:val="HTMLconformatoprevioCar"/>
    <w:uiPriority w:val="99"/>
    <w:semiHidden/>
    <w:unhideWhenUsed/>
    <w:rsid w:val="00A23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basedOn w:val="Fuentedeprrafopredeter"/>
    <w:link w:val="HTMLconformatoprevio"/>
    <w:uiPriority w:val="99"/>
    <w:semiHidden/>
    <w:rsid w:val="00A23904"/>
    <w:rPr>
      <w:rFonts w:ascii="Courier New" w:eastAsia="Times New Roman" w:hAnsi="Courier New" w:cs="Courier New"/>
      <w:lang w:val="es-ES" w:eastAsia="es-ES"/>
    </w:rPr>
  </w:style>
  <w:style w:type="paragraph" w:styleId="Prrafodelista">
    <w:name w:val="List Paragraph"/>
    <w:basedOn w:val="Normal"/>
    <w:uiPriority w:val="34"/>
    <w:qFormat/>
    <w:rsid w:val="00AF756A"/>
    <w:pPr>
      <w:ind w:left="720"/>
      <w:contextualSpacing/>
    </w:pPr>
  </w:style>
</w:styles>
</file>

<file path=word/webSettings.xml><?xml version="1.0" encoding="utf-8"?>
<w:webSettings xmlns:r="http://schemas.openxmlformats.org/officeDocument/2006/relationships" xmlns:w="http://schemas.openxmlformats.org/wordprocessingml/2006/main">
  <w:divs>
    <w:div w:id="529416367">
      <w:bodyDiv w:val="1"/>
      <w:marLeft w:val="0"/>
      <w:marRight w:val="0"/>
      <w:marTop w:val="0"/>
      <w:marBottom w:val="0"/>
      <w:divBdr>
        <w:top w:val="none" w:sz="0" w:space="0" w:color="auto"/>
        <w:left w:val="none" w:sz="0" w:space="0" w:color="auto"/>
        <w:bottom w:val="none" w:sz="0" w:space="0" w:color="auto"/>
        <w:right w:val="none" w:sz="0" w:space="0" w:color="auto"/>
      </w:divBdr>
    </w:div>
    <w:div w:id="598029191">
      <w:bodyDiv w:val="1"/>
      <w:marLeft w:val="0"/>
      <w:marRight w:val="0"/>
      <w:marTop w:val="0"/>
      <w:marBottom w:val="0"/>
      <w:divBdr>
        <w:top w:val="none" w:sz="0" w:space="0" w:color="auto"/>
        <w:left w:val="none" w:sz="0" w:space="0" w:color="auto"/>
        <w:bottom w:val="none" w:sz="0" w:space="0" w:color="auto"/>
        <w:right w:val="none" w:sz="0" w:space="0" w:color="auto"/>
      </w:divBdr>
    </w:div>
    <w:div w:id="730929134">
      <w:bodyDiv w:val="1"/>
      <w:marLeft w:val="0"/>
      <w:marRight w:val="0"/>
      <w:marTop w:val="0"/>
      <w:marBottom w:val="0"/>
      <w:divBdr>
        <w:top w:val="none" w:sz="0" w:space="0" w:color="auto"/>
        <w:left w:val="none" w:sz="0" w:space="0" w:color="auto"/>
        <w:bottom w:val="none" w:sz="0" w:space="0" w:color="auto"/>
        <w:right w:val="none" w:sz="0" w:space="0" w:color="auto"/>
      </w:divBdr>
    </w:div>
    <w:div w:id="827018557">
      <w:bodyDiv w:val="1"/>
      <w:marLeft w:val="0"/>
      <w:marRight w:val="0"/>
      <w:marTop w:val="0"/>
      <w:marBottom w:val="0"/>
      <w:divBdr>
        <w:top w:val="none" w:sz="0" w:space="0" w:color="auto"/>
        <w:left w:val="none" w:sz="0" w:space="0" w:color="auto"/>
        <w:bottom w:val="none" w:sz="0" w:space="0" w:color="auto"/>
        <w:right w:val="none" w:sz="0" w:space="0" w:color="auto"/>
      </w:divBdr>
    </w:div>
    <w:div w:id="853501068">
      <w:bodyDiv w:val="1"/>
      <w:marLeft w:val="0"/>
      <w:marRight w:val="0"/>
      <w:marTop w:val="0"/>
      <w:marBottom w:val="0"/>
      <w:divBdr>
        <w:top w:val="none" w:sz="0" w:space="0" w:color="auto"/>
        <w:left w:val="none" w:sz="0" w:space="0" w:color="auto"/>
        <w:bottom w:val="none" w:sz="0" w:space="0" w:color="auto"/>
        <w:right w:val="none" w:sz="0" w:space="0" w:color="auto"/>
      </w:divBdr>
    </w:div>
    <w:div w:id="1081827342">
      <w:bodyDiv w:val="1"/>
      <w:marLeft w:val="0"/>
      <w:marRight w:val="0"/>
      <w:marTop w:val="0"/>
      <w:marBottom w:val="0"/>
      <w:divBdr>
        <w:top w:val="none" w:sz="0" w:space="0" w:color="auto"/>
        <w:left w:val="none" w:sz="0" w:space="0" w:color="auto"/>
        <w:bottom w:val="none" w:sz="0" w:space="0" w:color="auto"/>
        <w:right w:val="none" w:sz="0" w:space="0" w:color="auto"/>
      </w:divBdr>
      <w:divsChild>
        <w:div w:id="1491169960">
          <w:marLeft w:val="0"/>
          <w:marRight w:val="0"/>
          <w:marTop w:val="0"/>
          <w:marBottom w:val="27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leg.gob.ar/infolegInternet/verNorma.do?id=1978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foleg.gob.ar/infolegInternet/verNorma.do?id=19785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F3FD-4149-49AC-B867-5E82F899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2285</Words>
  <Characters>13029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psico</Company>
  <LinksUpToDate>false</LinksUpToDate>
  <CharactersWithSpaces>15284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Agustina Espector</dc:creator>
  <cp:lastModifiedBy>DELL</cp:lastModifiedBy>
  <cp:revision>2</cp:revision>
  <cp:lastPrinted>2020-03-05T14:21:00Z</cp:lastPrinted>
  <dcterms:created xsi:type="dcterms:W3CDTF">2020-08-06T15:11:00Z</dcterms:created>
  <dcterms:modified xsi:type="dcterms:W3CDTF">2020-08-06T15:11:00Z</dcterms:modified>
</cp:coreProperties>
</file>